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21 192 vom 24. April 2023</w:t>
      </w:r>
    </w:p>
    <w:p>
      <w:r>
        <w:t>VS Kantonsgericht, 2023-04-24, FR</w:t>
      </w:r>
    </w:p>
    <w:p>
      <w:r>
        <w:rPr>
          <w:b/>
        </w:rPr>
        <w:t xml:space="preserve">Quelle: </w:t>
      </w:r>
      <w:r>
        <w:t>https://mcp.opencaselaw.ch/entscheid/vs_gerichte_C1 21 192</w:t>
      </w:r>
    </w:p>
    <w:p>
      <w:r>
        <w:t>FR: VS_GERICHTE C1 21 192 du 24 avril 2023</w:t>
      </w:r>
    </w:p>
    <w:p>
      <w:r>
        <w:t>IT: VS_GERICHTE C1 21 192 del 24 aprile 2023</w:t>
      </w:r>
    </w:p>
    <w:p>
      <w:pPr>
        <w:pStyle w:val="Heading2"/>
      </w:pPr>
      <w:r>
        <w:t>Regeste</w:t>
      </w:r>
    </w:p>
    <w:p>
      <w:r>
        <w:t>C1 21 192 JUGEMENT DU 24 AVRIL 2023 Tribunal cantonal du Valais Cour civile II Bertrand Dayer, juge ; Yves Burnier, greffier ; en la cause X _________, à A _________/F, demanderesse et appelante, représentée par Maître Basile Couchepin, avocat à Martigny. contre Y _________ SA, de siège social à B _________, défenderesse et appelée, représentée par Maître Cvjetislav Todic, avocat à Montreux. (résiliation abusive du contrat de travail ; art. 336 al. 1 let. a CO) appel contre le jugement du 23 mars 2021 du Tribunal du travail</w:t>
      </w:r>
    </w:p>
    <w:p>
      <w:pPr>
        <w:pStyle w:val="Heading2"/>
      </w:pPr>
      <w:r>
        <w:t>Erwägungen</w:t>
      </w:r>
    </w:p>
    <w:p>
      <w:r>
        <w:rPr>
          <w:b/>
        </w:rPr>
        <w:t>E. 3</w:t>
      </w:r>
    </w:p>
    <w:p>
      <w:r>
        <w:t>L'appelante reproche aux premier juges d'avoir nié indûment le caractère abusif de la résiliation de ses rapports de travail en procédant à une mauvaise appréciation des faits de la cause, contrevenant, ce faisant, à l'article 336 CO. Selon elle, en effet, le licenciement qui lui a été signifié l'a été en raison de sa maladie, elle-même provoquée par le comportement de l'appelée, soit pour des motifs qui ne sont pas dignes de protection au sens de cette disposition, et non pas pour des causes économiques ou organisationnelles, comme invoqué par l'intéressée.</w:t>
      </w:r>
    </w:p>
    <w:p>
      <w:r>
        <w:rPr>
          <w:b/>
        </w:rPr>
        <w:t>E. 3.1</w:t>
      </w:r>
    </w:p>
    <w:p>
      <w:r>
        <w:t>Un contrat de travail de durée indéterminée peut être résilié par chacune des parties en respectant le délai de congé légal ou contractuel (art. 335 al. 1 CO). Le principe de la liberté de résiliation s'applique donc. Il n'est en principe pas nécessaire d'avoir des motifs particuliers pour pouvoir résilier le contrat. La liberté de résiliation trouve toutefois ses limites dans l'interdiction de l'abus au sens des articles 336 ss CO (ATF 136 III 513 consid. 2.3 et les références).</w:t>
      </w:r>
    </w:p>
    <w:p>
      <w:r>
        <w:rPr>
          <w:b/>
        </w:rPr>
        <w:t>E. 3.1.1</w:t>
      </w:r>
    </w:p>
    <w:p>
      <w:r>
        <w:t>Selon l'article 336 al. 1 let. a CO, le congé est abusif lorsqu'il est donné par une partie pour une raison inhérente à la personnalité de l'autre partie, à moins que cette raison n'ait un lien avec le rapport de travail ou ne porte sur un point essentiel un préjudice grave au travail dans l'entreprise. La maladie est une raison inhérente à la</w:t>
      </w:r>
    </w:p>
    <w:p>
      <w:r>
        <w:t>- 12 - personnalité au sens de la disposition précitée. Toutefois, si elle porte atteinte à la capacité de travail, la maladie n'est pas considérée comme une cause abusive de résiliation.</w:t>
      </w:r>
    </w:p>
    <w:p>
      <w:r>
        <w:rPr>
          <w:b/>
        </w:rPr>
        <w:t>E. 3.1.1.1</w:t>
      </w:r>
    </w:p>
    <w:p>
      <w:r>
        <w:t>Ainsi, la résiliation des rapports de travail en raison d'une incapacité prolongée perdurant au-delà du délai de protection de l'article 336c CO n'est pas abusive, à moins notamment que l'incapacité ne trouve sa cause dans une violation de ses obligations par l'employeur, telle celle découlant de l'article 328 al. 1 CO en cas de harcèlement psychologique ou de mobbing (ATF 123 III 246 consid. 5 ; arrêt 4A_215/2022 du 23 août 2022 consid. 4.1 et les arrêts cités ; PERRENOUD, Commentaire romand, 3ème éd., 2021, n. 19 ad art. 336 CO ; PORTMANN/RUDOLPH, Commentaire bâlois, 7ème éd., 2020, n. 6 ad art. 336 CO). Si celui-ci a provoqué chez le travailleur une baisse de rendement ou une période de maladie et s'il a été toléré par l'employeur en violation de son obligation résultant de la disposition précitée, ce dernier ne peut pas en tirer argument pour licencier le travailleur, parce que cela reviendrait à invoquer ses propres fautes, soit l'absence de mesures efficaces contre le mobbing, pour en tirer avantage au détriment du travailleur, ce qui est contraire à la bonne foi (ATF 125 III 70 consid. 2a ; arrêts 4A_159/2016 du 1er décembre 2016 consid. 3.1 et 4C.320/2005 du 20 mars 2006 consid. 3.2).</w:t>
      </w:r>
    </w:p>
    <w:p>
      <w:r>
        <w:rPr>
          <w:b/>
        </w:rPr>
        <w:t>E. 3.1.1.2</w:t>
      </w:r>
    </w:p>
    <w:p>
      <w:r>
        <w:t>La jurisprudence définit le mobbing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éventuellement être considéré comme supportable, alors que l'ensemble des agissements constitue une déstabilisation de la personnalité, poussée jusqu'à l'élimination professionnelle de la personne visée. Il n'y a pas harcèlement psychologique du seul fait qu'un conflit existe dans les relations professionnelles, qu'il règne une mauvaise ambiance de travail, ou encore du fait qu'un supérieur hiérarchique n'a pas satisfait pleinement et toujours aux devoirs qui lui incombent à l'égard de ses collaborateurs (arrêt 4A_215/2022 précité consid. 3.1 et les arrêts cités).</w:t>
      </w:r>
    </w:p>
    <w:p>
      <w:r>
        <w:rPr>
          <w:b/>
        </w:rPr>
        <w:t>E. 3.1.2</w:t>
      </w:r>
    </w:p>
    <w:p>
      <w:r>
        <w:t>Pour qu'un congé soit abusif, il doit exister un lien de causalité entre le motif répréhensible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 si tel est</w:t>
      </w:r>
    </w:p>
    <w:p>
      <w:r>
        <w:t>- 13 - le cas, le congé n'est pas abusif (arrêts 4A_215/2022 précité consid. 4.1 et les arrêts cités).</w:t>
      </w:r>
    </w:p>
    <w:p>
      <w:r>
        <w:rPr>
          <w:b/>
        </w:rPr>
        <w:t>E. 3.1.3</w:t>
      </w:r>
    </w:p>
    <w:p>
      <w:r>
        <w:t>En vertu de l'article 8 CC, la partie congédiée doit prouver le caractère abusif du congé (arrêt 4A_293/2019 du 22 octobre 2019 consid. 5.3.1 et les arrêts cités).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 il n'a pas d'autre issue que de fournir des preuves à l'appui de ses propres allégations quant au motif du congé (ATF 130 III 699 consid. 4.1 p. 703 ; plus récemment arrêt 4A_437/2015 du 4 décembre 2015 consid. 2.2.5). Dans le même ordre d'idées, la jurisprudence a précisé qu'en cas de pluralité de motifs, dont l'un au moins s'avère abusif, il incombe à l'employeur de démontrer qu'il aurait licencié le travailleur même en l'absence du motif abusif (arrêt 4A_437/2015 précité consid. 2.2.5 et les arrêts cités).</w:t>
      </w:r>
    </w:p>
    <w:p>
      <w:r>
        <w:rPr>
          <w:b/>
        </w:rPr>
        <w:t>E. 3.2</w:t>
      </w:r>
    </w:p>
    <w:p>
      <w:r>
        <w:t>En l'occurrence, l'appelée a justifié le licenciement signifié le 29 mai 2019 à l'appelante en expliquant qu'elle avait tablé sur une reprise de son travail à brève échéance, en sorte qu'elle ne l'avait pas remplacée, même temporairement, renonçant à fournir l'une des prestations du centre de soins en raison de cette maladie, et que, faute de perspective de retour à court terme, elle avait dû se résoudre à résilier le contrat de travail qui l'unissait à elle. Elle s'est donc prévalue de raisons économiques et organisationnelles pour motiver le congé. L'appelante ne prétend pas qu'un tel motif de licenciement est constitutif d'abus. Elle soutient, par contre, qu'il n'est pas le motif réel de la résiliation des rapports de travail entre elle et l'appelée.</w:t>
      </w:r>
    </w:p>
    <w:p>
      <w:r>
        <w:rPr>
          <w:b/>
        </w:rPr>
        <w:t>E. 3.2.1</w:t>
      </w:r>
    </w:p>
    <w:p>
      <w:r>
        <w:t>Selon elle, le congé ne lui a été donné qu'en raison de sa maladie. L'appelante en veut notamment pour preuves les lettres adressées par l'appelée à l'administration communale de F _________ et à son institution de prévoyance, ainsi que les déclarations de son administratrice en procédure. Invitée à expliquer les raisons qui l'ont conduite à requérir la suspension de la procédure d'octroi d'un permis de travail</w:t>
      </w:r>
    </w:p>
    <w:p>
      <w:r>
        <w:t>- 14 - en faveur de l'appelante aussitôt après avoir eu connaissance de son arrêt de travail, cette dernière a reconnu avoir été déçue et s'être sentie trahie par l'attitude de l'employée -dont elle ne croyait pas en la maladie, selon ce qu'a rapporté un témoin -, et avoir effectivement pris la décision, sous le coup de la colère, de se séparer d'elle après son congé maladie, dans le respect des règles en la matière. Quant à la motivation du congé donnée par lettre du 28 juin 2019, il convient de donner acte à l'appelante qu'elle se heurte partiellement aux faits tels que circonscrits, en tant qu'elle mentionne la renonciation de l'appelée à fournir l'une des prestations du centre de soins en raison de sa maladie. En effet, il a été retenu que l'activité de coiffure du centre de soins de F _________ s'était poursuivie malgré cet arrêt maladie grâce à un transfert d'une employée du site de G _________ à celui de F _________. Déterminer si ce sont là des indices suffisants au sens de la jurisprudence rappelée ci- dessus (cf. consid. 3.1.3) pour faire apparaître comme non réel le motif de résiliation avancé quelques mois plus tard par l'appelée souffre cependant de rester indécis, compte tenu du sort qu'il convient de toute façon de réserver à cet argument. Même si l'on devait retenir, avec l'appelante, que le vrai motif de la résiliation du contrat de travail intervenue le 29 mai 2019 a été son incapacité de travail, le congé donné n'en serait pas pour autant abusif, au vu des considérations qui suivent.</w:t>
      </w:r>
    </w:p>
    <w:p>
      <w:r>
        <w:rPr>
          <w:b/>
        </w:rPr>
        <w:t>E. 3.2.2</w:t>
      </w:r>
    </w:p>
    <w:p>
      <w:r>
        <w:t>Il est constant que ce dernier est intervenu après la période de protection de trente jours accordée par l'article 336c let. b CO à une employée, qui, comme c'est le cas de l'appelante, tombe malade au cours de la première année de service. Or, on l'a rappelé ci-avant (cf. consid. 3.1.1.1), la résiliation des rapports de travail en raison d'une incapacité prolongée perdurant au-delà du délai de protection de l'article 336c CO n'est en principe pas abusive. Ce n'est que si cette incapacité de travail trouve sa cause dans une violation de ses obligations par l'employeur que le congé signifié pour cette raison devient abusif. Tel n'est cependant pas le cas en l'espèce, quoi qu'en dise l'appelante, qui, à tort, pense pouvoir fonder une telle violation sur la base du compte rendu de sa prise en charge hospitalière établie le 28 mars 2019 par le médecin responsable de l'unité de rhumatologie des N _________, de même que sur la base des déclarations faites en procédure par ses collègues de travail. Celle-ci ne peut en effet rien tirer du rapport médical en question, dont les premiers juges ont, à raison, dénié toute force probante. Il est de jurisprudence bien établie que la valeur convaincante d'un tel document émanant du médecin traitant d'une partie au procès est dérisoire, compte tenu du lien thérapeutique et de la relation de confiance qui unit les</w:t>
      </w:r>
    </w:p>
    <w:p>
      <w:r>
        <w:t>- 15 - intéressés, et qui, selon l'expérience, pousse celui-ci à se positionner plutôt en faveur de son patient en cas de doute (cf. arrêt 4A_424/2019 du 31 octobre 2019 consid. 3.1 et les arrêts cités ; CHRISTINAT, L'expertise en matière de responsabilité médicale, in François Bohnet et Anne-Sylvie Dupont (éd), L'expertise en procédure, 2022, n. 39 p. 151 et l'arrêt cité sous note de bas de page n. 66). On ne saurait donc déduire du constat d'un "contexte de conflit professionnel, avec harcèlement professionnel" l'existence avérée d'un cas de mobbing. On ne peut pas plus inférer un lien de causalité entre les "difficultés professionnelles" relatées dans ce document et la poussée de spondylarthrite dont a été victime l'appelante, puisque, de l'avis même du médecin qui l'a établi, celle-ci progressait depuis plusieurs mois et était, de plus, aussi en rapport avec des difficultés personnelles. De fait, il a été établi que l'appelante était en proie, à cette époque-là, à des difficultés financières telles qu'une saisie de ses biens était prévue, laquelle n'a pu être évitée que par le versement d'une avance de salaire par l'appelée directement en mains d'un huissier français. Ces évènements n'ont certainement pas manqué de contribuer à générer chez l'appelante le stress qu'elle dit avoir été préjudiciable à sa santé, compte tenu de ses antécédents médicaux. Confrontée à cette absence de preuves, celle-ci tente vainement dans son appel de faire reproche aux premiers juges de n'avoir pas investigué de manière plus approfondie cette question, en se prévalant de la maxime inquisitoire sociale applicable à la présente cause. Sa critique est toutefois sans consistance car, contrairement à ce qu'elle pense, cette maxime n'impose nullement au juge qu'il se livre à des investigations de sa propre initiative. Comme sous l'empire de la maxime des débats, les parties se doivent de recueillir elles-mêmes les éléments du procès. Le tribunal ne leur vient en aide que par des questions adéquates afin que les allégations nécessaires et les moyens de preuve correspondant soient précisément énumérés, avec d'autant plus de retenue cependant lorsque, comme c'est le cas en l'occurrence, les parties sont représentées par un avocat (ATF 141 III 569 consid. 2.3.1 et les références). L'appelante ne peut rien tirer non plus des témoignages de ses anciennes collègues de travail. Même en retenant, sur la base de leurs déclarations, que le climat de travail n'était guère favorable en raison, principalement, du comportement et du style de management de l'administratrice de l'appelée, qui, par son manque de clarté, ses variations dans les ordres donnés, ses nombreuses demandes formulées en dehors des horaires de travail, ses exigences et son côté autoritaire a provoqué le départ d'un grand nombre de collaboratrice ainsi que de nombreux arrêts de travail, la violation de ses obligations par l'employeur n'en serait pas pour autant établie à satisfaction de droit. On l'a dit (cf. consid. 3.1.1.2 ci-dessus), il n'y a pas mobbing du seul fait qu'il règne une</w:t>
      </w:r>
    </w:p>
    <w:p>
      <w:r>
        <w:t>- 16 - mauvaise ambiance de travail ou qu'un supérieur hiérarchique n'a pas satisfait pleinement et toujours aux devoirs qui lui incombent à l'égard de ses collaborateurs, comme cela semble avoir manifestement été le cas de l'administratrice de l'appelée. Encore faut-il, pour que de tels agissements et propos constituent un cas de mobbing, qu'ils aient eu pour effet d'isoler, de marginaliser, voire d'exclure la personne qui en a été victime de son lieu de travail. Or, cette hypothèse n'est pas démontrée, en l'espèce. Aucun des témoignages recueillis en procédure n'a fait état d'un comportement de l'administratrice de l'appelée constituant une déstabilisation de la personne de l'appelante, allant jusqu'à son élimination, et l'intéressée elle-même ne le prétend pas. En particulier, le stress découlant de son activité professionnelle, invoqué par l'appelante pour soutenir que sa maladie avait été provoquée par l'appelée, n'a pas conduit à la marginalisation de l'intéressée sur son lieu de travail. Il est dès lors irrelevant que le médecin qui a établi le rapport médical du 28 mars 2019 a cru bon de qualifier le contexte professionnel dans lequel évoluait les douleurs de l'appelante de "harcèlement professionnel", la compréhension commune de cette notion ne se confondant pas nécessairement avec la signification juridique du harcèlement psychologique, seule définition qui compte lorsqu'il convient de s'assurer d'une éventuelle violation des obligations de l'employeur découlant de l'article 328 al. 1 CO. Il n'en va pas différemment des tracas provoqués par les agissements de l'administratrice de l'appelée durant l’incapacité de travail de l’appelante, qualifiés à juste titre d'inadéquats par les premiers juges. Il ne suffit pas, pour démontrer l'existence de propos et d'agissements hostiles ressortissant au harcèlement psychologique, qu'un supérieur hiérarchique n'ait pas satisfait pleinement et toujours aux devoirs qui lui incombent à l'égard de ses collaborateurs, comme cela a très clairement été le cas de l'appelée durant le congé maladie de l'appelante. En tout état de cause, dès lors qu'il n'a pas été établi que ces agissements ont retardé la guérison de l'appelante, on ne saurait en déduire que son incapacité prolongée est due à une atteinte à sa personnalité contraire à la disposition précitée. Il suit de ce qui précède que, même si l'on devait tenir le motif avancé par l'appelée dans sa lettre du 28 juin 2019 pour fallacieux, la véritable raison du licenciement de l'appelante tenant uniquement à sa maladie, le congé donné n'en serait pas pour autant abusif au sens de l'article 336 al. 1 let. a CO, l'incapacité de travail prolongée de l'employée, qui a perduré au-delà du délai de protection de l'article 336c CO, ne trouvant nullement sa cause dans une violation de ses obligations par l'employeur. Ainsi, l'autorité précédente</w:t>
      </w:r>
    </w:p>
    <w:p>
      <w:r>
        <w:t>- 17 - n'a pas enfreint l'article 336 al. 1 CO en niant le caractère abusif de la résiliation des rapports de travail.</w:t>
      </w:r>
    </w:p>
    <w:p>
      <w:r>
        <w:rPr>
          <w:b/>
        </w:rPr>
        <w:t>E. 3.2.3</w:t>
      </w:r>
    </w:p>
    <w:p>
      <w:r>
        <w:t>Le grief de l'appelante doit être rejeté et le jugement entrepris peut être purement et simplement confirmé.</w:t>
      </w:r>
    </w:p>
    <w:p>
      <w:r>
        <w:rPr>
          <w:b/>
        </w:rPr>
        <w:t>E. 4</w:t>
      </w:r>
    </w:p>
    <w:p>
      <w:r>
        <w:t>Il reste à statuer sur le sort des frais (cf. art. 318 al. 3 CPC).</w:t>
      </w:r>
    </w:p>
    <w:p>
      <w:r>
        <w:rPr>
          <w:b/>
        </w:rPr>
        <w:t>E. 4.1</w:t>
      </w:r>
    </w:p>
    <w:p>
      <w:r>
        <w:t>Conformément à l’article 114 let. c CPC, se rapportant aux contestations de droit du travail d’une valeur litigieuse n’excédant pas 30'000 fr., il n’est pas perçu de frais judiciaires (TAPPY, Commentaire romand, 2e éd., 2019, n. 10 ss ad art. 114 CPC ; RÜEGG/RÜEGG, Commentaire bâlois, 3e éd., 2017, n. 2 art. 114 CPC).</w:t>
      </w:r>
    </w:p>
    <w:p>
      <w:r>
        <w:rPr>
          <w:b/>
        </w:rPr>
        <w:t>E. 4.2</w:t>
      </w:r>
    </w:p>
    <w:p>
      <w:r>
        <w:t>Il résulte de la formulation de l’article 114 CPC que cette disposition ne concerne pas les dépens en faveur de la partie adverse (cf. RVJ 2014 consid. 4.1 et les références ; URWYLER/GRÜTTER, in Brunner/Gasser/Schwander [édit.], Schweizerische Zivilprozessordnung, 2ème éd., 2016, n. 2 ad art. 114 CPC). Conformément à l’art. 106 al. 1 CPC - qui vaut tant en première qu’en seconde instance cantonale (cf. ATF 145 III 153 consid. 3.2.2 ; 137 III 470 consid. 6.5.3 ; arrêt 5A_496/2013 du 11 septembre 2013 consid. 4.4.1) - les dépens doivent être mis à la charge de la partie succombante. Le sort de la cause dispense le juge de céans de revoir la question des dépens de première instance (art. 318 al. 3 CPC a contrario), laissés à la charge de chacune des parties aux termes du jugement entrepris, ce qui n'est pas remis en cause en appel. Il est donc renvoyé aux motifs exposés par les premiers juges sur cette question (cf. consid. 2.b du jugement du 23 mars 2021). Quant à ceux de deuxième instance, vu le sort réservé aux conclusions prises par l'appelante en procédure d'appel, il se justifie de lui faire supporter les frais d’intervention de son adverse partie. Eu égard à la valeur litigieuse, au degré usuel de difficulté de la cause, ainsi qu'à l'activité utilement déployée par le conseil de l'appelée - qui a, pour l'essentiel, consisté en la rédaction et le dépôt d'une réponse à l'appel de 14 pages, dont</w:t>
      </w:r>
    </w:p>
    <w:p>
      <w:r>
        <w:rPr>
          <w:b/>
        </w:rPr>
        <w:t>E. 8</w:t>
      </w:r>
    </w:p>
    <w:p>
      <w:r>
        <w:t>pages de détermination sur les faits allégués par l'appelante, mais ayant nécessité préalablement la lecture de la déclaration d'appel de 22 pages – l'indemnité de dépens doit être globalement arrêtée à 1500 fr., TVA et débours compris (art. 32 al. 1 et 35 al. 1 let. a LTar).</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